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5E80" w14:textId="37076D0A" w:rsidR="00CC6FAA" w:rsidRPr="00397B02" w:rsidRDefault="00397B02" w:rsidP="00397B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B02">
        <w:rPr>
          <w:rFonts w:asciiTheme="majorBidi" w:hAnsiTheme="majorBidi" w:cstheme="majorBidi"/>
          <w:b/>
          <w:bCs/>
          <w:sz w:val="24"/>
          <w:szCs w:val="24"/>
        </w:rPr>
        <w:t xml:space="preserve">Nekilnojamojo turto kadastrinių matavimų 6531EX031 studijų programos </w:t>
      </w:r>
      <w:r w:rsidR="00CC6FAA" w:rsidRPr="00397B02">
        <w:rPr>
          <w:rFonts w:ascii="Times New Roman" w:hAnsi="Times New Roman" w:cs="Times New Roman"/>
          <w:b/>
          <w:sz w:val="24"/>
          <w:szCs w:val="24"/>
        </w:rPr>
        <w:t>vertinimo ekspertų nurodytų rekomendacijų įgyvendinimas Kauno miškų ir aplinkos inžinerijos kolegijoje.</w:t>
      </w:r>
    </w:p>
    <w:tbl>
      <w:tblPr>
        <w:tblStyle w:val="Lentelstinklelis4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93"/>
        <w:gridCol w:w="2732"/>
        <w:gridCol w:w="4870"/>
        <w:gridCol w:w="1695"/>
      </w:tblGrid>
      <w:tr w:rsidR="00CC6FAA" w:rsidRPr="00397B02" w14:paraId="0EE8082B" w14:textId="77777777" w:rsidTr="00397B02">
        <w:trPr>
          <w:trHeight w:val="14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54EE" w14:textId="77777777" w:rsidR="00CC6FAA" w:rsidRPr="00397B02" w:rsidRDefault="00CC6FAA" w:rsidP="00397B0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Eil. Nr.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EED3" w14:textId="77777777" w:rsidR="00CC6FAA" w:rsidRPr="00397B02" w:rsidRDefault="00CC6FAA" w:rsidP="00397B0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Ekspertų</w:t>
            </w:r>
            <w:proofErr w:type="spellEnd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rekomendacijos</w:t>
            </w:r>
            <w:proofErr w:type="spellEnd"/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EF9E" w14:textId="77777777" w:rsidR="00CC6FAA" w:rsidRPr="00397B02" w:rsidRDefault="00CC6FAA" w:rsidP="00397B0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Aukštosios</w:t>
            </w:r>
            <w:proofErr w:type="spellEnd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mokyklos</w:t>
            </w:r>
            <w:proofErr w:type="spellEnd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atlikti</w:t>
            </w:r>
            <w:proofErr w:type="spellEnd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arba</w:t>
            </w:r>
            <w:proofErr w:type="spellEnd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planuojami</w:t>
            </w:r>
            <w:proofErr w:type="spellEnd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veiksmai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4782" w14:textId="77777777" w:rsidR="00CC6FAA" w:rsidRPr="00397B02" w:rsidRDefault="00CC6FAA" w:rsidP="00397B0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Rekomendacijų</w:t>
            </w:r>
            <w:proofErr w:type="spellEnd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įgyvendinimo</w:t>
            </w:r>
            <w:proofErr w:type="spellEnd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terminai</w:t>
            </w:r>
            <w:proofErr w:type="spellEnd"/>
          </w:p>
        </w:tc>
      </w:tr>
      <w:tr w:rsidR="00CC6FAA" w:rsidRPr="00397B02" w14:paraId="637B955E" w14:textId="77777777" w:rsidTr="00397B02">
        <w:trPr>
          <w:trHeight w:val="14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0719" w14:textId="77777777" w:rsidR="00CC6FAA" w:rsidRPr="00397B02" w:rsidRDefault="00CC6FAA" w:rsidP="00397B02">
            <w:pPr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7B02">
              <w:rPr>
                <w:rFonts w:asciiTheme="majorBidi" w:hAnsiTheme="majorBidi" w:cstheme="majorBidi"/>
                <w:sz w:val="22"/>
                <w:szCs w:val="22"/>
              </w:rPr>
              <w:t>1.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541A" w14:textId="2EB72435" w:rsidR="00CC6FAA" w:rsidRPr="00397B02" w:rsidRDefault="00397B02" w:rsidP="00397B02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Turėtų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būti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užtikrinta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kad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visi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studentai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turi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galimybę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pereiti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praktinius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mokymus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nes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praktika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yra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privaloma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3367" w14:textId="2F8938FA" w:rsidR="00CC6FAA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Visiems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studentams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sudaroma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galimybė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atilkti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pra</w:t>
            </w:r>
            <w:r w:rsidR="009C7402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397B02">
              <w:rPr>
                <w:rFonts w:asciiTheme="majorBidi" w:hAnsiTheme="majorBidi" w:cstheme="majorBidi"/>
                <w:sz w:val="22"/>
                <w:szCs w:val="22"/>
              </w:rPr>
              <w:t>tikas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="009C7402">
              <w:rPr>
                <w:rFonts w:asciiTheme="majorBidi" w:hAnsiTheme="majorBidi" w:cstheme="majorBidi"/>
                <w:sz w:val="22"/>
                <w:szCs w:val="22"/>
              </w:rPr>
              <w:t>jei</w:t>
            </w:r>
            <w:proofErr w:type="spellEnd"/>
            <w:r w:rsidR="009C74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C7402">
              <w:rPr>
                <w:rFonts w:asciiTheme="majorBidi" w:hAnsiTheme="majorBidi" w:cstheme="majorBidi"/>
                <w:sz w:val="22"/>
                <w:szCs w:val="22"/>
              </w:rPr>
              <w:t>praktikų</w:t>
            </w:r>
            <w:proofErr w:type="spellEnd"/>
            <w:r w:rsidR="009C74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C7402">
              <w:rPr>
                <w:rFonts w:asciiTheme="majorBidi" w:hAnsiTheme="majorBidi" w:cstheme="majorBidi"/>
                <w:sz w:val="22"/>
                <w:szCs w:val="22"/>
              </w:rPr>
              <w:t>metu</w:t>
            </w:r>
            <w:proofErr w:type="spellEnd"/>
            <w:r w:rsidR="009C74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C7402">
              <w:rPr>
                <w:rFonts w:asciiTheme="majorBidi" w:hAnsiTheme="majorBidi" w:cstheme="majorBidi"/>
                <w:sz w:val="22"/>
                <w:szCs w:val="22"/>
              </w:rPr>
              <w:t>jie</w:t>
            </w:r>
            <w:proofErr w:type="spellEnd"/>
            <w:r w:rsidR="009C74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C7402">
              <w:rPr>
                <w:rFonts w:asciiTheme="majorBidi" w:hAnsiTheme="majorBidi" w:cstheme="majorBidi"/>
                <w:sz w:val="22"/>
                <w:szCs w:val="22"/>
              </w:rPr>
              <w:t>negali</w:t>
            </w:r>
            <w:proofErr w:type="spellEnd"/>
            <w:r w:rsidR="009C7402">
              <w:rPr>
                <w:rFonts w:asciiTheme="majorBidi" w:hAnsiTheme="majorBidi" w:cstheme="majorBidi"/>
                <w:sz w:val="22"/>
                <w:szCs w:val="22"/>
              </w:rPr>
              <w:t xml:space="preserve"> į </w:t>
            </w:r>
            <w:proofErr w:type="spellStart"/>
            <w:r w:rsidR="009C7402">
              <w:rPr>
                <w:rFonts w:asciiTheme="majorBidi" w:hAnsiTheme="majorBidi" w:cstheme="majorBidi"/>
                <w:sz w:val="22"/>
                <w:szCs w:val="22"/>
              </w:rPr>
              <w:t>jas</w:t>
            </w:r>
            <w:proofErr w:type="spellEnd"/>
            <w:r w:rsidR="009C74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C7402">
              <w:rPr>
                <w:rFonts w:asciiTheme="majorBidi" w:hAnsiTheme="majorBidi" w:cstheme="majorBidi"/>
                <w:sz w:val="22"/>
                <w:szCs w:val="22"/>
              </w:rPr>
              <w:t>prisijungti</w:t>
            </w:r>
            <w:proofErr w:type="spellEnd"/>
            <w:r w:rsidR="009C74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C7402">
              <w:rPr>
                <w:rFonts w:asciiTheme="majorBidi" w:hAnsiTheme="majorBidi" w:cstheme="majorBidi"/>
                <w:sz w:val="22"/>
                <w:szCs w:val="22"/>
              </w:rPr>
              <w:t>dėl</w:t>
            </w:r>
            <w:proofErr w:type="spellEnd"/>
            <w:r w:rsidR="009C74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C7402">
              <w:rPr>
                <w:rFonts w:asciiTheme="majorBidi" w:hAnsiTheme="majorBidi" w:cstheme="majorBidi"/>
                <w:sz w:val="22"/>
                <w:szCs w:val="22"/>
              </w:rPr>
              <w:t>pateisinamų</w:t>
            </w:r>
            <w:proofErr w:type="spellEnd"/>
            <w:r w:rsidR="009C74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C7402">
              <w:rPr>
                <w:rFonts w:asciiTheme="majorBidi" w:hAnsiTheme="majorBidi" w:cstheme="majorBidi"/>
                <w:sz w:val="22"/>
                <w:szCs w:val="22"/>
              </w:rPr>
              <w:t>priežasčių</w:t>
            </w:r>
            <w:proofErr w:type="spellEnd"/>
            <w:r w:rsidR="009C74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C7402">
              <w:rPr>
                <w:rFonts w:asciiTheme="majorBidi" w:hAnsiTheme="majorBidi" w:cstheme="majorBidi"/>
                <w:sz w:val="22"/>
                <w:szCs w:val="22"/>
              </w:rPr>
              <w:t>jiems</w:t>
            </w:r>
            <w:proofErr w:type="spellEnd"/>
            <w:r w:rsidR="009C74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pagal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poreikį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sudaromas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individualus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planas</w:t>
            </w:r>
            <w:proofErr w:type="spellEnd"/>
            <w:r w:rsidR="009C7402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B49D" w14:textId="308D15C7" w:rsidR="00CC6FAA" w:rsidRPr="00397B02" w:rsidRDefault="009C74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Nuolatos</w:t>
            </w:r>
            <w:proofErr w:type="spellEnd"/>
          </w:p>
        </w:tc>
      </w:tr>
      <w:tr w:rsidR="00397B02" w:rsidRPr="00397B02" w14:paraId="0C46BD21" w14:textId="77777777" w:rsidTr="00397B02">
        <w:trPr>
          <w:trHeight w:val="14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290B" w14:textId="77777777" w:rsidR="00397B02" w:rsidRPr="00397B02" w:rsidRDefault="00397B02" w:rsidP="00397B02">
            <w:pPr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7B02">
              <w:rPr>
                <w:rFonts w:asciiTheme="majorBidi" w:hAnsiTheme="majorBidi" w:cstheme="majorBidi"/>
                <w:sz w:val="22"/>
                <w:szCs w:val="22"/>
              </w:rPr>
              <w:t>2.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AE62" w14:textId="77777777" w:rsidR="00397B02" w:rsidRPr="00397B02" w:rsidRDefault="00397B02" w:rsidP="00397B02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Padidinti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studentų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dalyvaujančių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moksliniuose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tyrimuose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skaičių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7B194211" w14:textId="71D54430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C9C8" w14:textId="52F97EE4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KMAIK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vadovybė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tam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teikia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prioritetinį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dėmesį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vykdomi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susitikimai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su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studentais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siūlomos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papildomos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skatinamosios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stipendijos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iš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kolegijos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lėšų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9673" w14:textId="6AEC27E6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Nuolatos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397B02" w:rsidRPr="00397B02" w14:paraId="366F27B0" w14:textId="77777777" w:rsidTr="00397B02">
        <w:trPr>
          <w:trHeight w:val="14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5E80" w14:textId="77777777" w:rsidR="00397B02" w:rsidRPr="00397B02" w:rsidRDefault="00397B02" w:rsidP="00397B02">
            <w:pPr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397B02">
              <w:rPr>
                <w:rFonts w:asciiTheme="majorBidi" w:hAnsiTheme="majorBidi" w:cstheme="majorBidi"/>
                <w:sz w:val="22"/>
                <w:szCs w:val="22"/>
              </w:rPr>
              <w:t>3.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2139" w14:textId="43EF5811" w:rsidR="00397B02" w:rsidRPr="00397B02" w:rsidRDefault="00397B02" w:rsidP="00397B02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Per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mažai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studentų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naudojasi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akademinio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judumo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galimybėmis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. KMAIK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turėtų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parengti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konkretesnį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planą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kokiu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būdu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paskatinti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studentus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apsvarstyti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galimybę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studijuoti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užsienyje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kaip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vieną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iš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savo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akademinės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karjeros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aspektų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Galbūt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būtų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galima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rinktis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mišrų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arba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virtualų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judumą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87E8" w14:textId="58D9AF26" w:rsidR="00397B02" w:rsidRPr="00397B02" w:rsidRDefault="009C74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V</w:t>
            </w:r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>isiems</w:t>
            </w:r>
            <w:proofErr w:type="spellEnd"/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>studentams</w:t>
            </w:r>
            <w:proofErr w:type="spellEnd"/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>sudaroma</w:t>
            </w:r>
            <w:proofErr w:type="spellEnd"/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>galimybė</w:t>
            </w:r>
            <w:proofErr w:type="spellEnd"/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>išvykti</w:t>
            </w:r>
            <w:proofErr w:type="spellEnd"/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>pagal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ERASMUSŽ+,</w:t>
            </w:r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ERASMUS+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>BIP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judumo</w:t>
            </w:r>
            <w:proofErr w:type="spellEnd"/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programų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>mokymus</w:t>
            </w:r>
            <w:proofErr w:type="spellEnd"/>
            <w:r w:rsidR="00397B02" w:rsidRPr="00397B0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C763" w14:textId="38702D8F" w:rsidR="00397B02" w:rsidRPr="00397B02" w:rsidRDefault="009C74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Nuolatos</w:t>
            </w:r>
            <w:proofErr w:type="spellEnd"/>
          </w:p>
        </w:tc>
      </w:tr>
      <w:tr w:rsidR="00397B02" w:rsidRPr="00397B02" w14:paraId="3BFF2F5D" w14:textId="77777777" w:rsidTr="00397B02">
        <w:trPr>
          <w:trHeight w:val="14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08B2" w14:textId="3FCCFC8A" w:rsidR="00397B02" w:rsidRPr="00397B02" w:rsidRDefault="00397B02" w:rsidP="00397B02">
            <w:pPr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7B02">
              <w:rPr>
                <w:rFonts w:asciiTheme="majorBidi" w:hAnsiTheme="majorBidi" w:cstheme="majorBidi"/>
                <w:sz w:val="22"/>
                <w:szCs w:val="22"/>
              </w:rPr>
              <w:t>4.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6FB5" w14:textId="7793808B" w:rsidR="00397B02" w:rsidRPr="00397B02" w:rsidRDefault="00397B02" w:rsidP="00397B02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Gerinti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sąlygas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specialiųjų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poreikių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turintiems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studentams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1A78" w14:textId="7B7EEE4B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KMAIK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vadovybė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tam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teikia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prioritetinį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dėmesį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tačiau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dėl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pastato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konstrukcijų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ir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lėšų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trūkumo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tai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sudėtinga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Pastoviai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ieškoma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galimybių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sąlygas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pagerinti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FEA9" w14:textId="77777777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Nuolatos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5B252B69" w14:textId="378A8397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</w:tr>
      <w:tr w:rsidR="00397B02" w:rsidRPr="00397B02" w14:paraId="1CDB83C9" w14:textId="77777777" w:rsidTr="00397B02">
        <w:trPr>
          <w:trHeight w:val="14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E2EB" w14:textId="6284C7D5" w:rsidR="00397B02" w:rsidRPr="00397B02" w:rsidRDefault="00397B02" w:rsidP="00397B02">
            <w:pPr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7B02">
              <w:rPr>
                <w:rFonts w:asciiTheme="majorBidi" w:hAnsiTheme="majorBidi" w:cstheme="majorBidi"/>
                <w:sz w:val="22"/>
                <w:szCs w:val="22"/>
              </w:rPr>
              <w:t>5.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D40E" w14:textId="77777777" w:rsidR="00397B02" w:rsidRPr="00397B02" w:rsidRDefault="00397B02" w:rsidP="00397B02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Padidinti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pagrindinių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modulių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pilnu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etatu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dirbančių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dėstytojų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kurių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pagrindinė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darbovietė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yra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kolegija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skaičių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</w:p>
          <w:p w14:paraId="00B62CF0" w14:textId="1F4AD986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A550" w14:textId="09E680A7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Etatinių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dėstytojų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skaičiaus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padidinimas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yra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sudėtingas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. KMAIK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vadovybė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tam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teikia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prioritetinį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dėmesį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tačiau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kolegijoje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antraeilėse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pareigose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dirbantys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dėstytojai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pirmaeile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darboviete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pasilieka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universitetą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(VDU),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kur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turi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didesnes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galimybes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vykdyti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aukšto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lygio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mokslinę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veiklą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gerąją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patritį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perduodant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ir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kolegijos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studentams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AF00" w14:textId="77777777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Nuolatos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1660DBC3" w14:textId="003C5717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</w:tr>
      <w:tr w:rsidR="00397B02" w:rsidRPr="00397B02" w14:paraId="366A9E5D" w14:textId="77777777" w:rsidTr="00397B02">
        <w:trPr>
          <w:trHeight w:val="14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757C" w14:textId="77777777" w:rsidR="00397B02" w:rsidRPr="00397B02" w:rsidRDefault="00397B02" w:rsidP="00397B02">
            <w:pPr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7B02">
              <w:rPr>
                <w:rFonts w:asciiTheme="majorBidi" w:hAnsiTheme="majorBidi" w:cstheme="majorBidi"/>
                <w:sz w:val="22"/>
                <w:szCs w:val="22"/>
              </w:rPr>
              <w:t>7.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BD74" w14:textId="77777777" w:rsidR="00397B02" w:rsidRPr="00397B02" w:rsidRDefault="00397B02" w:rsidP="00397B02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Patalpos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turi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būti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pritaikytos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specialiųjų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poreikių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turintiems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žmonėms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</w:p>
          <w:p w14:paraId="4BB6EA1E" w14:textId="720B710D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A387" w14:textId="7F03497D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KMAIK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vadovybė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tam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teikia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prioritetinį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dėmesį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tačiau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dėl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pastato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konstrukcijų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ir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lėšų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trūkumo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tai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sudėtinga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Pastoviai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ieškoma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galimybių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sąlygas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pagerinti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ACFA" w14:textId="77777777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Nuolatos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42B1B49C" w14:textId="77777777" w:rsidR="00397B02" w:rsidRPr="00397B02" w:rsidRDefault="00397B02" w:rsidP="00397B02">
            <w:pPr>
              <w:spacing w:after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97B02" w:rsidRPr="00397B02" w14:paraId="2913A286" w14:textId="77777777" w:rsidTr="00397B02">
        <w:trPr>
          <w:trHeight w:val="2051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1985" w14:textId="77777777" w:rsidR="00397B02" w:rsidRPr="00397B02" w:rsidRDefault="00397B02" w:rsidP="00397B02">
            <w:pPr>
              <w:spacing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7B02">
              <w:rPr>
                <w:rFonts w:asciiTheme="majorBidi" w:hAnsiTheme="majorBidi" w:cstheme="majorBidi"/>
                <w:sz w:val="22"/>
                <w:szCs w:val="22"/>
              </w:rPr>
              <w:t>8.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0925" w14:textId="77777777" w:rsidR="00397B02" w:rsidRPr="00397B02" w:rsidRDefault="00397B02" w:rsidP="00397B02">
            <w:pPr>
              <w:pStyle w:val="Defaul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Plėtoti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bendradarbiavimą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su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išorės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suinteresuotosiomis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šalimis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</w:p>
          <w:p w14:paraId="3CC1E4F3" w14:textId="1F28954B" w:rsidR="00397B02" w:rsidRPr="00397B02" w:rsidRDefault="00397B02" w:rsidP="00397B02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BDE9" w14:textId="77777777" w:rsidR="00397B02" w:rsidRPr="00397B02" w:rsidRDefault="00397B02" w:rsidP="00397B02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Vyksta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neformalūs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susitikimai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su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socialiniais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partneriais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ir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alumnais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79B6628A" w14:textId="77777777" w:rsidR="00397B02" w:rsidRPr="00397B02" w:rsidRDefault="00397B02" w:rsidP="00397B02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Baigiamųjų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darbų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gynimų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komisijoje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dalyvauja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socialiniai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partneriai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kurie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po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gynimo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išsako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pastabas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dėl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studentų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pasirengimo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bei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studijų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programos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tobulinimo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64EF5299" w14:textId="5FF1B0FB" w:rsidR="00397B02" w:rsidRPr="00397B02" w:rsidRDefault="00397B02" w:rsidP="00397B02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Studijų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programos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komiteto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kuriame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dalyvauja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soc.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partneriai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)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posėdžiai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vyksta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ne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rečiau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kaip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2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kartus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per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metus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podsėdžių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metu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dieskutuojama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apie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studijų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programą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816A" w14:textId="77777777" w:rsidR="00397B02" w:rsidRPr="00397B02" w:rsidRDefault="00397B02" w:rsidP="00397B02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A15C10F" w14:textId="77777777" w:rsidR="00397B02" w:rsidRPr="00397B02" w:rsidRDefault="00397B02" w:rsidP="00397B02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F9C3877" w14:textId="77777777" w:rsidR="00397B02" w:rsidRPr="00397B02" w:rsidRDefault="00397B02" w:rsidP="00397B02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97B02">
              <w:rPr>
                <w:rFonts w:asciiTheme="majorBidi" w:hAnsiTheme="majorBidi" w:cstheme="majorBidi"/>
                <w:sz w:val="22"/>
                <w:szCs w:val="22"/>
              </w:rPr>
              <w:t>Nuolatos</w:t>
            </w:r>
            <w:proofErr w:type="spellEnd"/>
            <w:r w:rsidRPr="00397B0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472EE2CE" w14:textId="77777777" w:rsidR="00397B02" w:rsidRPr="00397B02" w:rsidRDefault="00397B02" w:rsidP="00397B02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CBFCDCD" w14:textId="77777777" w:rsidR="00397B02" w:rsidRPr="00397B02" w:rsidRDefault="00397B02" w:rsidP="00397B02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72CCCE3" w14:textId="77777777" w:rsidR="00397B02" w:rsidRPr="00397B02" w:rsidRDefault="00397B02" w:rsidP="00397B02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BD03AC" w14:textId="77777777" w:rsidR="00397B02" w:rsidRPr="00397B02" w:rsidRDefault="00397B02" w:rsidP="00397B02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9B3381" w14:textId="77777777" w:rsidR="00397B02" w:rsidRPr="00397B02" w:rsidRDefault="00397B02" w:rsidP="00397B02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45425A9" w14:textId="2A8C6F9E" w:rsidR="00692716" w:rsidRPr="009C7402" w:rsidRDefault="00E5401E" w:rsidP="009C7402">
      <w:pPr>
        <w:rPr>
          <w:rFonts w:asciiTheme="majorBidi" w:hAnsiTheme="majorBidi" w:cstheme="majorBidi"/>
          <w:sz w:val="24"/>
          <w:szCs w:val="24"/>
        </w:rPr>
      </w:pPr>
      <w:r w:rsidRPr="00E5401E">
        <w:rPr>
          <w:rFonts w:asciiTheme="majorBidi" w:hAnsiTheme="majorBidi" w:cstheme="majorBidi"/>
          <w:sz w:val="24"/>
          <w:szCs w:val="24"/>
        </w:rPr>
        <w:t xml:space="preserve">Apsvarstyta ir pritarta: Akademinės </w:t>
      </w:r>
      <w:r w:rsidRPr="009C7402">
        <w:rPr>
          <w:rFonts w:asciiTheme="majorBidi" w:hAnsiTheme="majorBidi" w:cstheme="majorBidi"/>
          <w:sz w:val="24"/>
          <w:szCs w:val="24"/>
        </w:rPr>
        <w:t xml:space="preserve">tarybos </w:t>
      </w:r>
      <w:r w:rsidR="009C7402" w:rsidRPr="009C7402">
        <w:rPr>
          <w:rFonts w:asciiTheme="majorBidi" w:hAnsiTheme="majorBidi" w:cstheme="majorBidi"/>
          <w:sz w:val="24"/>
          <w:szCs w:val="24"/>
        </w:rPr>
        <w:t>2023-11-23, protokolas Nr. (1.22-3)-9.</w:t>
      </w:r>
    </w:p>
    <w:sectPr w:rsidR="00692716" w:rsidRPr="009C7402" w:rsidSect="00E5401E">
      <w:pgSz w:w="11906" w:h="16838"/>
      <w:pgMar w:top="630" w:right="566" w:bottom="45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AA"/>
    <w:rsid w:val="00390881"/>
    <w:rsid w:val="00397B02"/>
    <w:rsid w:val="003F53F1"/>
    <w:rsid w:val="0048647F"/>
    <w:rsid w:val="004A6F43"/>
    <w:rsid w:val="00692716"/>
    <w:rsid w:val="00985097"/>
    <w:rsid w:val="009C7402"/>
    <w:rsid w:val="00BF4E24"/>
    <w:rsid w:val="00C5762A"/>
    <w:rsid w:val="00CC6FAA"/>
    <w:rsid w:val="00E42062"/>
    <w:rsid w:val="00E5401E"/>
    <w:rsid w:val="00F1766A"/>
    <w:rsid w:val="00F8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43D7"/>
  <w15:chartTrackingRefBased/>
  <w15:docId w15:val="{5A1430CC-8B0C-46DA-8C95-B7D39FBE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6FAA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4">
    <w:name w:val="Lentelės tinklelis4"/>
    <w:basedOn w:val="prastojilentel"/>
    <w:next w:val="Lentelstinklelis"/>
    <w:uiPriority w:val="59"/>
    <w:rsid w:val="00CC6FAA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C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B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Kmaik_laptop</dc:creator>
  <cp:keywords/>
  <dc:description/>
  <cp:lastModifiedBy>reikia labai</cp:lastModifiedBy>
  <cp:revision>5</cp:revision>
  <dcterms:created xsi:type="dcterms:W3CDTF">2024-11-04T14:01:00Z</dcterms:created>
  <dcterms:modified xsi:type="dcterms:W3CDTF">2024-11-05T08:39:00Z</dcterms:modified>
</cp:coreProperties>
</file>